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943091" w:rsidP="00943091">
      <w:pPr>
        <w:spacing w:after="0" w:line="480" w:lineRule="auto"/>
        <w:jc w:val="center"/>
        <w:rPr>
          <w:rFonts w:ascii="Times New Roman" w:hAnsi="Times New Roman" w:cs="Times New Roman"/>
          <w:sz w:val="24"/>
          <w:szCs w:val="24"/>
        </w:rPr>
      </w:pPr>
    </w:p>
    <w:p w:rsidR="00A00199" w:rsidP="00943091">
      <w:pPr>
        <w:spacing w:after="0" w:line="480" w:lineRule="auto"/>
        <w:jc w:val="center"/>
        <w:rPr>
          <w:rFonts w:ascii="Times New Roman" w:hAnsi="Times New Roman" w:cs="Times New Roman"/>
          <w:sz w:val="24"/>
          <w:szCs w:val="24"/>
        </w:rPr>
      </w:pPr>
    </w:p>
    <w:p w:rsidR="00A00199" w:rsidP="00943091">
      <w:pPr>
        <w:spacing w:after="0" w:line="480" w:lineRule="auto"/>
        <w:jc w:val="center"/>
        <w:rPr>
          <w:rFonts w:ascii="Times New Roman" w:hAnsi="Times New Roman" w:cs="Times New Roman"/>
          <w:sz w:val="24"/>
          <w:szCs w:val="24"/>
        </w:rPr>
      </w:pPr>
    </w:p>
    <w:p w:rsidR="00A00199" w:rsidP="00943091">
      <w:pPr>
        <w:spacing w:after="0" w:line="480" w:lineRule="auto"/>
        <w:jc w:val="center"/>
        <w:rPr>
          <w:rFonts w:ascii="Times New Roman" w:hAnsi="Times New Roman" w:cs="Times New Roman"/>
          <w:sz w:val="24"/>
          <w:szCs w:val="24"/>
        </w:rPr>
      </w:pPr>
    </w:p>
    <w:p w:rsidR="00A00199" w:rsidP="00943091">
      <w:pPr>
        <w:spacing w:after="0" w:line="480" w:lineRule="auto"/>
        <w:jc w:val="center"/>
        <w:rPr>
          <w:rFonts w:ascii="Times New Roman" w:hAnsi="Times New Roman" w:cs="Times New Roman"/>
          <w:sz w:val="24"/>
          <w:szCs w:val="24"/>
        </w:rPr>
      </w:pPr>
    </w:p>
    <w:p w:rsidR="00A00199" w:rsidP="00943091">
      <w:pPr>
        <w:spacing w:after="0" w:line="480" w:lineRule="auto"/>
        <w:jc w:val="center"/>
        <w:rPr>
          <w:rFonts w:ascii="Times New Roman" w:hAnsi="Times New Roman" w:cs="Times New Roman"/>
          <w:sz w:val="24"/>
          <w:szCs w:val="24"/>
        </w:rPr>
      </w:pPr>
    </w:p>
    <w:p w:rsidR="00A00199" w:rsidP="00943091">
      <w:pPr>
        <w:spacing w:after="0" w:line="480" w:lineRule="auto"/>
        <w:jc w:val="center"/>
        <w:rPr>
          <w:rFonts w:ascii="Times New Roman" w:hAnsi="Times New Roman" w:cs="Times New Roman"/>
          <w:sz w:val="24"/>
          <w:szCs w:val="24"/>
        </w:rPr>
      </w:pPr>
    </w:p>
    <w:p w:rsidR="00A00199" w:rsidP="00943091">
      <w:pPr>
        <w:spacing w:after="0" w:line="480" w:lineRule="auto"/>
        <w:jc w:val="center"/>
        <w:rPr>
          <w:rFonts w:ascii="Times New Roman" w:hAnsi="Times New Roman" w:cs="Times New Roman"/>
          <w:sz w:val="24"/>
          <w:szCs w:val="24"/>
        </w:rPr>
      </w:pPr>
    </w:p>
    <w:p w:rsidR="00F272FD" w:rsidP="00943091">
      <w:pPr>
        <w:spacing w:after="0" w:line="480" w:lineRule="auto"/>
        <w:jc w:val="center"/>
        <w:rPr>
          <w:rFonts w:ascii="Times New Roman" w:hAnsi="Times New Roman" w:cs="Times New Roman"/>
          <w:sz w:val="24"/>
          <w:szCs w:val="24"/>
        </w:rPr>
      </w:pPr>
      <w:r w:rsidRPr="003D7C8E">
        <w:rPr>
          <w:rFonts w:ascii="Times New Roman" w:hAnsi="Times New Roman" w:cs="Times New Roman"/>
          <w:sz w:val="24"/>
          <w:szCs w:val="24"/>
        </w:rPr>
        <w:t>Security Regulation Compliance</w:t>
      </w:r>
      <w:r w:rsidR="00A00199">
        <w:rPr>
          <w:rFonts w:ascii="Times New Roman" w:hAnsi="Times New Roman" w:cs="Times New Roman"/>
          <w:sz w:val="24"/>
          <w:szCs w:val="24"/>
        </w:rPr>
        <w:t xml:space="preserve"> Requirements</w:t>
      </w:r>
    </w:p>
    <w:p w:rsidR="00943091" w:rsidP="0094309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Pr>
          <w:rFonts w:ascii="Times New Roman" w:hAnsi="Times New Roman" w:cs="Times New Roman"/>
          <w:sz w:val="24"/>
          <w:szCs w:val="24"/>
        </w:rPr>
        <w:t>Name</w:t>
      </w:r>
    </w:p>
    <w:p w:rsidR="00943091" w:rsidP="0094309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A00199">
        <w:rPr>
          <w:rFonts w:ascii="Times New Roman" w:hAnsi="Times New Roman" w:cs="Times New Roman"/>
          <w:sz w:val="24"/>
          <w:szCs w:val="24"/>
        </w:rPr>
        <w:t>s</w:t>
      </w:r>
    </w:p>
    <w:p w:rsidR="00A00199" w:rsidP="0094309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943091" w:rsidRPr="003D7C8E" w:rsidP="0094309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Security Regulation Compliance</w:t>
      </w:r>
      <w:r w:rsidR="00A00199">
        <w:rPr>
          <w:rFonts w:ascii="Times New Roman" w:hAnsi="Times New Roman" w:cs="Times New Roman"/>
          <w:sz w:val="24"/>
          <w:szCs w:val="24"/>
        </w:rPr>
        <w:t xml:space="preserve"> Requirements</w:t>
      </w:r>
    </w:p>
    <w:p w:rsidR="0041096D" w:rsidRPr="003D7C8E" w:rsidP="003D7C8E">
      <w:pPr>
        <w:spacing w:after="0" w:line="480" w:lineRule="auto"/>
        <w:ind w:firstLine="720"/>
        <w:rPr>
          <w:rFonts w:ascii="Times New Roman" w:hAnsi="Times New Roman" w:cs="Times New Roman"/>
          <w:sz w:val="24"/>
          <w:szCs w:val="24"/>
        </w:rPr>
      </w:pPr>
      <w:r w:rsidRPr="003D7C8E">
        <w:rPr>
          <w:rFonts w:ascii="Times New Roman" w:hAnsi="Times New Roman" w:cs="Times New Roman"/>
          <w:sz w:val="24"/>
          <w:szCs w:val="24"/>
        </w:rPr>
        <w:t xml:space="preserve">To begin with, regulatory compliance </w:t>
      </w:r>
      <w:r w:rsidRPr="003D7C8E" w:rsidR="00F04CF2">
        <w:rPr>
          <w:rFonts w:ascii="Times New Roman" w:hAnsi="Times New Roman" w:cs="Times New Roman"/>
          <w:sz w:val="24"/>
          <w:szCs w:val="24"/>
        </w:rPr>
        <w:t xml:space="preserve">is defined as a firm’s adherence to the available guidelines, specifications, laws, as well as regulations that are relevant to its business processes. Notably, violation of the regulatory compliance regulations contributes to legal punishment such as federal fines. With that said, </w:t>
      </w:r>
      <w:r w:rsidRPr="003D7C8E" w:rsidR="001B6DBF">
        <w:rPr>
          <w:rFonts w:ascii="Times New Roman" w:hAnsi="Times New Roman" w:cs="Times New Roman"/>
          <w:sz w:val="24"/>
          <w:szCs w:val="24"/>
        </w:rPr>
        <w:t>security compliance is regarded as a legal concern for companies in various fields in the contemporary world. In this case, regulatory such as ISO and HIPAA play a critical role in prescribing recommendations for protecting information as well as enhancing information security management in a firm</w:t>
      </w:r>
      <w:r w:rsidR="00B157F7">
        <w:rPr>
          <w:rFonts w:ascii="Times New Roman" w:hAnsi="Times New Roman" w:cs="Times New Roman"/>
          <w:sz w:val="24"/>
          <w:szCs w:val="24"/>
        </w:rPr>
        <w:t xml:space="preserve"> (Bulgurcu, Cavusoglu,</w:t>
      </w:r>
      <w:r w:rsidRPr="000F00B4" w:rsidR="00B157F7">
        <w:rPr>
          <w:rFonts w:ascii="Times New Roman" w:hAnsi="Times New Roman" w:cs="Times New Roman"/>
          <w:sz w:val="24"/>
          <w:szCs w:val="24"/>
        </w:rPr>
        <w:t xml:space="preserve"> &amp; Benbasat,</w:t>
      </w:r>
      <w:r w:rsidR="00B157F7">
        <w:rPr>
          <w:rFonts w:ascii="Times New Roman" w:hAnsi="Times New Roman" w:cs="Times New Roman"/>
          <w:sz w:val="24"/>
          <w:szCs w:val="24"/>
        </w:rPr>
        <w:t xml:space="preserve"> 2010)</w:t>
      </w:r>
      <w:r w:rsidRPr="003D7C8E" w:rsidR="001B6DBF">
        <w:rPr>
          <w:rFonts w:ascii="Times New Roman" w:hAnsi="Times New Roman" w:cs="Times New Roman"/>
          <w:sz w:val="24"/>
          <w:szCs w:val="24"/>
        </w:rPr>
        <w:t>. In depicting security compliance, organizations are in a position to define as well as attain particular security objectives and reduce the prevailing threats of network attacks via different processes including vulnerability management. Notably, in case organizations fail to attain as well as keep security regulation compliance, the failure can contribute to both financial and legal penalties. 
</w:t>
      </w:r>
    </w:p>
    <w:p w:rsidR="00820BF8" w:rsidP="003D7C8E">
      <w:pPr>
        <w:spacing w:after="0" w:line="480" w:lineRule="auto"/>
        <w:ind w:firstLine="720"/>
        <w:rPr>
          <w:rFonts w:ascii="Times New Roman" w:hAnsi="Times New Roman" w:cs="Times New Roman"/>
          <w:sz w:val="24"/>
          <w:szCs w:val="24"/>
        </w:rPr>
      </w:pPr>
      <w:r w:rsidRPr="003D7C8E">
        <w:rPr>
          <w:rFonts w:ascii="Times New Roman" w:hAnsi="Times New Roman" w:cs="Times New Roman"/>
          <w:sz w:val="24"/>
          <w:szCs w:val="24"/>
        </w:rPr>
        <w:t xml:space="preserve">It is unfortunate that in the government agency where I work as the Chief Information Officer, vital legal issues </w:t>
      </w:r>
      <w:r w:rsidRPr="003D7C8E" w:rsidR="00920599">
        <w:rPr>
          <w:rFonts w:ascii="Times New Roman" w:hAnsi="Times New Roman" w:cs="Times New Roman"/>
          <w:sz w:val="24"/>
          <w:szCs w:val="24"/>
        </w:rPr>
        <w:t xml:space="preserve">affecting information security are neglected. Consequently, this contributes to the violation of security-related regulations and the firm often pays heavy fines due to non-compliance. </w:t>
      </w:r>
      <w:r w:rsidRPr="003D7C8E">
        <w:rPr>
          <w:rFonts w:ascii="Times New Roman" w:hAnsi="Times New Roman" w:cs="Times New Roman"/>
          <w:sz w:val="24"/>
          <w:szCs w:val="24"/>
        </w:rPr>
        <w:t>With that said, there is a considerable need to educate the organization’s senior leadership on a number of primary regulatory requirements and the need to make sure that workers in the firm are aware of the proposed regulatory needs</w:t>
      </w:r>
      <w:r w:rsidR="0014493B">
        <w:rPr>
          <w:rFonts w:ascii="Times New Roman" w:hAnsi="Times New Roman" w:cs="Times New Roman"/>
          <w:sz w:val="24"/>
          <w:szCs w:val="24"/>
        </w:rPr>
        <w:t xml:space="preserve"> (Bulgurcu, Cavusoglu,</w:t>
      </w:r>
      <w:r w:rsidRPr="000F00B4" w:rsidR="0014493B">
        <w:rPr>
          <w:rFonts w:ascii="Times New Roman" w:hAnsi="Times New Roman" w:cs="Times New Roman"/>
          <w:sz w:val="24"/>
          <w:szCs w:val="24"/>
        </w:rPr>
        <w:t xml:space="preserve"> &amp; Benbasat,</w:t>
      </w:r>
      <w:r w:rsidR="0014493B">
        <w:rPr>
          <w:rFonts w:ascii="Times New Roman" w:hAnsi="Times New Roman" w:cs="Times New Roman"/>
          <w:sz w:val="24"/>
          <w:szCs w:val="24"/>
        </w:rPr>
        <w:t xml:space="preserve"> 2010)</w:t>
      </w:r>
      <w:r w:rsidRPr="003D7C8E">
        <w:rPr>
          <w:rFonts w:ascii="Times New Roman" w:hAnsi="Times New Roman" w:cs="Times New Roman"/>
          <w:sz w:val="24"/>
          <w:szCs w:val="24"/>
        </w:rPr>
        <w:t xml:space="preserve">. Therefore, </w:t>
      </w:r>
      <w:r w:rsidR="00D73EB9">
        <w:rPr>
          <w:rFonts w:ascii="Times New Roman" w:hAnsi="Times New Roman" w:cs="Times New Roman"/>
          <w:sz w:val="24"/>
          <w:szCs w:val="24"/>
        </w:rPr>
        <w:t>this</w:t>
      </w:r>
      <w:r w:rsidRPr="003D7C8E">
        <w:rPr>
          <w:rFonts w:ascii="Times New Roman" w:hAnsi="Times New Roman" w:cs="Times New Roman"/>
          <w:sz w:val="24"/>
          <w:szCs w:val="24"/>
        </w:rPr>
        <w:t xml:space="preserve"> paper provides an extensive overview of the regulatory needs the agency at hand must be aware of, such as FISMA, Sarbanes-Oxley, Gramm-leach-Bliley Act, HIPAA, intellectual property law, and PCI DSS. Furthermore, the paper takes part in describing the security approaches as well as controls that require to be enforced to ensure compliance with the proposed standards and regulatory needs. Lastly, the paper provides a comprehensive description of the guidance given </w:t>
      </w:r>
      <w:r w:rsidRPr="003D7C8E">
        <w:rPr>
          <w:rFonts w:ascii="Times New Roman" w:hAnsi="Times New Roman" w:cs="Times New Roman"/>
          <w:sz w:val="24"/>
          <w:szCs w:val="24"/>
        </w:rPr>
        <w:t>by the department of health and human services, the national institute of standards and technology, as well as other available agencies for making sure compliance with the prevailing regulatory and standards requirements.</w:t>
      </w:r>
    </w:p>
    <w:p w:rsidR="00C62C29" w:rsidRPr="00C62C29" w:rsidP="00C62C29">
      <w:pPr>
        <w:spacing w:after="0" w:line="480" w:lineRule="auto"/>
        <w:jc w:val="center"/>
        <w:rPr>
          <w:rFonts w:ascii="Times New Roman" w:hAnsi="Times New Roman" w:cs="Times New Roman"/>
          <w:b/>
          <w:sz w:val="24"/>
          <w:szCs w:val="24"/>
        </w:rPr>
      </w:pPr>
      <w:r w:rsidRPr="00C62C29">
        <w:rPr>
          <w:rFonts w:ascii="Times New Roman" w:hAnsi="Times New Roman" w:cs="Times New Roman"/>
          <w:b/>
          <w:sz w:val="24"/>
          <w:szCs w:val="24"/>
        </w:rPr>
        <w:t>Overview of Regulatory Requirements that a Government Agency needs to be Aware of</w:t>
      </w:r>
    </w:p>
    <w:p w:rsidR="00820BF8" w:rsidRPr="00146ED7" w:rsidP="00146ED7">
      <w:pPr>
        <w:pStyle w:val="ListParagraph"/>
        <w:numPr>
          <w:ilvl w:val="0"/>
          <w:numId w:val="1"/>
        </w:numPr>
        <w:spacing w:after="0" w:line="480" w:lineRule="auto"/>
        <w:rPr>
          <w:rFonts w:ascii="Times New Roman" w:hAnsi="Times New Roman" w:cs="Times New Roman"/>
          <w:b/>
          <w:sz w:val="24"/>
          <w:szCs w:val="24"/>
        </w:rPr>
      </w:pPr>
      <w:r w:rsidRPr="00146ED7">
        <w:rPr>
          <w:rFonts w:ascii="Times New Roman" w:hAnsi="Times New Roman" w:cs="Times New Roman"/>
          <w:b/>
          <w:sz w:val="24"/>
          <w:szCs w:val="24"/>
        </w:rPr>
        <w:t>FISMA</w:t>
      </w:r>
    </w:p>
    <w:p w:rsidR="00820BF8" w:rsidRPr="003D7C8E" w:rsidP="003D7C8E">
      <w:pPr>
        <w:spacing w:after="0" w:line="480" w:lineRule="auto"/>
        <w:ind w:firstLine="720"/>
        <w:rPr>
          <w:rFonts w:ascii="Times New Roman" w:hAnsi="Times New Roman" w:cs="Times New Roman"/>
          <w:sz w:val="24"/>
          <w:szCs w:val="24"/>
        </w:rPr>
      </w:pPr>
      <w:r w:rsidRPr="003D7C8E">
        <w:rPr>
          <w:rFonts w:ascii="Times New Roman" w:hAnsi="Times New Roman" w:cs="Times New Roman"/>
          <w:sz w:val="24"/>
          <w:szCs w:val="24"/>
        </w:rPr>
        <w:t xml:space="preserve">The federal information security management act (FISMA) is a security regulatory compliance that requires federal agencies to enforce programs agency-wide for </w:t>
      </w:r>
      <w:r w:rsidRPr="003D7C8E" w:rsidR="00ED696F">
        <w:rPr>
          <w:rFonts w:ascii="Times New Roman" w:hAnsi="Times New Roman" w:cs="Times New Roman"/>
          <w:sz w:val="24"/>
          <w:szCs w:val="24"/>
        </w:rPr>
        <w:t>InfoSec</w:t>
      </w:r>
      <w:r w:rsidRPr="003D7C8E">
        <w:rPr>
          <w:rFonts w:ascii="Times New Roman" w:hAnsi="Times New Roman" w:cs="Times New Roman"/>
          <w:sz w:val="24"/>
          <w:szCs w:val="24"/>
        </w:rPr>
        <w:t xml:space="preserve"> and this consists of government contractors. </w:t>
      </w:r>
      <w:r w:rsidRPr="003D7C8E" w:rsidR="00ED696F">
        <w:rPr>
          <w:rFonts w:ascii="Times New Roman" w:hAnsi="Times New Roman" w:cs="Times New Roman"/>
          <w:sz w:val="24"/>
          <w:szCs w:val="24"/>
        </w:rPr>
        <w:t xml:space="preserve">Notably, this security program must be reviewed every year as well as reported to the federal office of management and budget. It is crucial to comprehend that FISMA updates the federal government's </w:t>
      </w:r>
      <w:r w:rsidRPr="003D7C8E" w:rsidR="000B4634">
        <w:rPr>
          <w:rFonts w:ascii="Times New Roman" w:hAnsi="Times New Roman" w:cs="Times New Roman"/>
          <w:sz w:val="24"/>
          <w:szCs w:val="24"/>
        </w:rPr>
        <w:t>cybersecurity</w:t>
      </w:r>
      <w:r w:rsidRPr="003D7C8E" w:rsidR="00ED696F">
        <w:rPr>
          <w:rFonts w:ascii="Times New Roman" w:hAnsi="Times New Roman" w:cs="Times New Roman"/>
          <w:sz w:val="24"/>
          <w:szCs w:val="24"/>
        </w:rPr>
        <w:t xml:space="preserve"> practices by codifying department of homeland security authority to administer the enforcement of information security policies for non-national security federal executive branch schemes</w:t>
      </w:r>
      <w:r w:rsidR="004D0104">
        <w:rPr>
          <w:rFonts w:ascii="Times New Roman" w:hAnsi="Times New Roman" w:cs="Times New Roman"/>
          <w:sz w:val="24"/>
          <w:szCs w:val="24"/>
        </w:rPr>
        <w:t xml:space="preserve"> (</w:t>
      </w:r>
      <w:r w:rsidRPr="00A22512" w:rsidR="004D0104">
        <w:rPr>
          <w:rFonts w:ascii="Times New Roman" w:hAnsi="Times New Roman" w:cs="Times New Roman"/>
          <w:sz w:val="24"/>
          <w:szCs w:val="24"/>
        </w:rPr>
        <w:t>Nowell,</w:t>
      </w:r>
      <w:r w:rsidR="004D0104">
        <w:rPr>
          <w:rFonts w:ascii="Times New Roman" w:hAnsi="Times New Roman" w:cs="Times New Roman"/>
          <w:sz w:val="24"/>
          <w:szCs w:val="24"/>
        </w:rPr>
        <w:t xml:space="preserve"> 2007)</w:t>
      </w:r>
      <w:r w:rsidRPr="003D7C8E" w:rsidR="00ED696F">
        <w:rPr>
          <w:rFonts w:ascii="Times New Roman" w:hAnsi="Times New Roman" w:cs="Times New Roman"/>
          <w:sz w:val="24"/>
          <w:szCs w:val="24"/>
        </w:rPr>
        <w:t>. In simple terms, the compliance offers the aforementioned department the authority to come up with and oversee the enforcement of binding operational directives to other agencies.    
</w:t>
      </w:r>
    </w:p>
    <w:p w:rsidR="00820BF8" w:rsidRPr="00146ED7" w:rsidP="00146ED7">
      <w:pPr>
        <w:pStyle w:val="ListParagraph"/>
        <w:numPr>
          <w:ilvl w:val="0"/>
          <w:numId w:val="1"/>
        </w:numPr>
        <w:spacing w:after="0" w:line="480" w:lineRule="auto"/>
        <w:rPr>
          <w:rFonts w:ascii="Times New Roman" w:hAnsi="Times New Roman" w:cs="Times New Roman"/>
          <w:b/>
          <w:sz w:val="24"/>
          <w:szCs w:val="24"/>
        </w:rPr>
      </w:pPr>
      <w:r w:rsidRPr="00146ED7">
        <w:rPr>
          <w:rFonts w:ascii="Times New Roman" w:hAnsi="Times New Roman" w:cs="Times New Roman"/>
          <w:b/>
          <w:sz w:val="24"/>
          <w:szCs w:val="24"/>
        </w:rPr>
        <w:t>Sarbanes-Oxley Act</w:t>
      </w:r>
    </w:p>
    <w:p w:rsidR="00127D33" w:rsidRPr="003D7C8E" w:rsidP="003D7C8E">
      <w:pPr>
        <w:spacing w:after="0" w:line="480" w:lineRule="auto"/>
        <w:ind w:firstLine="720"/>
        <w:rPr>
          <w:rFonts w:ascii="Times New Roman" w:hAnsi="Times New Roman" w:cs="Times New Roman"/>
          <w:sz w:val="24"/>
          <w:szCs w:val="24"/>
        </w:rPr>
      </w:pPr>
      <w:r w:rsidRPr="003D7C8E">
        <w:rPr>
          <w:rFonts w:ascii="Times New Roman" w:hAnsi="Times New Roman" w:cs="Times New Roman"/>
          <w:sz w:val="24"/>
          <w:szCs w:val="24"/>
        </w:rPr>
        <w:t xml:space="preserve">Sarbanes-Oxley Act is a well-recognized federal law that plays a vital role in setting accountability needs for public firm boards, management, as well as public accounting organizations. Some of the </w:t>
      </w:r>
      <w:r w:rsidR="000B4634">
        <w:rPr>
          <w:rFonts w:ascii="Times New Roman" w:hAnsi="Times New Roman" w:cs="Times New Roman"/>
          <w:sz w:val="24"/>
          <w:szCs w:val="24"/>
        </w:rPr>
        <w:t>A</w:t>
      </w:r>
      <w:r w:rsidRPr="003D7C8E">
        <w:rPr>
          <w:rFonts w:ascii="Times New Roman" w:hAnsi="Times New Roman" w:cs="Times New Roman"/>
          <w:sz w:val="24"/>
          <w:szCs w:val="24"/>
        </w:rPr>
        <w:t xml:space="preserve">ct’s provisions apply to </w:t>
      </w:r>
      <w:r w:rsidRPr="003D7C8E" w:rsidR="000B4634">
        <w:rPr>
          <w:rFonts w:ascii="Times New Roman" w:hAnsi="Times New Roman" w:cs="Times New Roman"/>
          <w:sz w:val="24"/>
          <w:szCs w:val="24"/>
        </w:rPr>
        <w:t>privately</w:t>
      </w:r>
      <w:r w:rsidRPr="003D7C8E">
        <w:rPr>
          <w:rFonts w:ascii="Times New Roman" w:hAnsi="Times New Roman" w:cs="Times New Roman"/>
          <w:sz w:val="24"/>
          <w:szCs w:val="24"/>
        </w:rPr>
        <w:t xml:space="preserve"> held firms including the </w:t>
      </w:r>
      <w:r w:rsidRPr="003D7C8E" w:rsidR="000B4634">
        <w:rPr>
          <w:rFonts w:ascii="Times New Roman" w:hAnsi="Times New Roman" w:cs="Times New Roman"/>
          <w:sz w:val="24"/>
          <w:szCs w:val="24"/>
        </w:rPr>
        <w:t>willful</w:t>
      </w:r>
      <w:r w:rsidRPr="003D7C8E">
        <w:rPr>
          <w:rFonts w:ascii="Times New Roman" w:hAnsi="Times New Roman" w:cs="Times New Roman"/>
          <w:sz w:val="24"/>
          <w:szCs w:val="24"/>
        </w:rPr>
        <w:t xml:space="preserve"> destruction of evidence to impede a federal investigation</w:t>
      </w:r>
      <w:r w:rsidR="008C50B7">
        <w:rPr>
          <w:rFonts w:ascii="Times New Roman" w:hAnsi="Times New Roman" w:cs="Times New Roman"/>
          <w:sz w:val="24"/>
          <w:szCs w:val="24"/>
        </w:rPr>
        <w:t xml:space="preserve"> (</w:t>
      </w:r>
      <w:r w:rsidRPr="000F00B4" w:rsidR="008C50B7">
        <w:rPr>
          <w:rFonts w:ascii="Times New Roman" w:hAnsi="Times New Roman" w:cs="Times New Roman"/>
          <w:sz w:val="24"/>
          <w:szCs w:val="24"/>
        </w:rPr>
        <w:t>Pinder,</w:t>
      </w:r>
      <w:r w:rsidR="008C50B7">
        <w:rPr>
          <w:rFonts w:ascii="Times New Roman" w:hAnsi="Times New Roman" w:cs="Times New Roman"/>
          <w:sz w:val="24"/>
          <w:szCs w:val="24"/>
        </w:rPr>
        <w:t xml:space="preserve"> 2006)</w:t>
      </w:r>
      <w:r w:rsidRPr="003D7C8E">
        <w:rPr>
          <w:rFonts w:ascii="Times New Roman" w:hAnsi="Times New Roman" w:cs="Times New Roman"/>
          <w:sz w:val="24"/>
          <w:szCs w:val="24"/>
        </w:rPr>
        <w:t xml:space="preserve">. The agency at hand must adhere to this security regulatory compliance by following all the requirements stated in this compliance. Some of the requirements include internal controls and whistleblowing. </w:t>
      </w:r>
    </w:p>
    <w:p w:rsidR="00820BF8" w:rsidRPr="007921F8" w:rsidP="007921F8">
      <w:pPr>
        <w:pStyle w:val="ListParagraph"/>
        <w:numPr>
          <w:ilvl w:val="0"/>
          <w:numId w:val="1"/>
        </w:numPr>
        <w:spacing w:after="0" w:line="480" w:lineRule="auto"/>
        <w:rPr>
          <w:rFonts w:ascii="Times New Roman" w:hAnsi="Times New Roman" w:cs="Times New Roman"/>
          <w:b/>
          <w:sz w:val="24"/>
          <w:szCs w:val="24"/>
        </w:rPr>
      </w:pPr>
      <w:r w:rsidRPr="007921F8">
        <w:rPr>
          <w:rFonts w:ascii="Times New Roman" w:hAnsi="Times New Roman" w:cs="Times New Roman"/>
          <w:b/>
          <w:sz w:val="24"/>
          <w:szCs w:val="24"/>
        </w:rPr>
        <w:t>Gramm-Leach-Bliley Act</w:t>
      </w:r>
    </w:p>
    <w:p w:rsidR="0091698F" w:rsidRPr="003D7C8E" w:rsidP="003D7C8E">
      <w:pPr>
        <w:spacing w:after="0" w:line="480" w:lineRule="auto"/>
        <w:ind w:firstLine="720"/>
        <w:rPr>
          <w:rFonts w:ascii="Times New Roman" w:hAnsi="Times New Roman" w:cs="Times New Roman"/>
          <w:sz w:val="24"/>
          <w:szCs w:val="24"/>
        </w:rPr>
      </w:pPr>
      <w:r w:rsidRPr="003D7C8E">
        <w:rPr>
          <w:rFonts w:ascii="Times New Roman" w:hAnsi="Times New Roman" w:cs="Times New Roman"/>
          <w:sz w:val="24"/>
          <w:szCs w:val="24"/>
        </w:rPr>
        <w:t xml:space="preserve">Gramm-Leach-Bliley Act requires various financial institutions in the United States to explain the way they share as well as protect their clients’ private information. The agency in question needs to communicate to its customers the way it shares the client’s sensitive information. On the same note, the firm must inform the customers of their right to opt-out in case they prefer that their individual information not be shared with third parties. In this case, an application of specific protections to clients’ private information in accordance with a written data security plan must be created by the agency.  </w:t>
      </w:r>
    </w:p>
    <w:p w:rsidR="00820BF8" w:rsidRPr="00146ED7" w:rsidP="00146ED7">
      <w:pPr>
        <w:pStyle w:val="ListParagraph"/>
        <w:numPr>
          <w:ilvl w:val="0"/>
          <w:numId w:val="1"/>
        </w:numPr>
        <w:spacing w:after="0" w:line="480" w:lineRule="auto"/>
        <w:rPr>
          <w:rFonts w:ascii="Times New Roman" w:hAnsi="Times New Roman" w:cs="Times New Roman"/>
          <w:b/>
          <w:sz w:val="24"/>
          <w:szCs w:val="24"/>
        </w:rPr>
      </w:pPr>
      <w:r w:rsidRPr="00146ED7">
        <w:rPr>
          <w:rFonts w:ascii="Times New Roman" w:hAnsi="Times New Roman" w:cs="Times New Roman"/>
          <w:b/>
          <w:sz w:val="24"/>
          <w:szCs w:val="24"/>
        </w:rPr>
        <w:t>PCI DSS</w:t>
      </w:r>
    </w:p>
    <w:p w:rsidR="00B1458E" w:rsidRPr="003D7C8E" w:rsidP="003D7C8E">
      <w:pPr>
        <w:spacing w:after="0" w:line="480" w:lineRule="auto"/>
        <w:ind w:firstLine="720"/>
        <w:rPr>
          <w:rFonts w:ascii="Times New Roman" w:hAnsi="Times New Roman" w:cs="Times New Roman"/>
          <w:sz w:val="24"/>
          <w:szCs w:val="24"/>
        </w:rPr>
      </w:pPr>
      <w:r w:rsidRPr="003D7C8E">
        <w:rPr>
          <w:rFonts w:ascii="Times New Roman" w:hAnsi="Times New Roman" w:cs="Times New Roman"/>
          <w:sz w:val="24"/>
          <w:szCs w:val="24"/>
        </w:rPr>
        <w:t xml:space="preserve">The payment card industry digital security standard (PCI DSS) </w:t>
      </w:r>
      <w:r w:rsidRPr="003D7C8E" w:rsidR="004B0ADB">
        <w:rPr>
          <w:rFonts w:ascii="Times New Roman" w:hAnsi="Times New Roman" w:cs="Times New Roman"/>
          <w:sz w:val="24"/>
          <w:szCs w:val="24"/>
        </w:rPr>
        <w:t>is a security regulatory compliance that regulates a firm’s security events related to payment cards. In this case, the agency at hand needs to comply with a designated level of PCI needs. It is important to comprehend that this consists of financial institutions, developers, as well as merchants, to mention a few. Notably, this compliance applies to firms of any size that accept credit card payments</w:t>
      </w:r>
      <w:r w:rsidR="00261F23">
        <w:rPr>
          <w:rFonts w:ascii="Times New Roman" w:hAnsi="Times New Roman" w:cs="Times New Roman"/>
          <w:sz w:val="24"/>
          <w:szCs w:val="24"/>
        </w:rPr>
        <w:t xml:space="preserve"> (</w:t>
      </w:r>
      <w:r w:rsidRPr="000F00B4" w:rsidR="00261F23">
        <w:rPr>
          <w:rFonts w:ascii="Times New Roman" w:hAnsi="Times New Roman" w:cs="Times New Roman"/>
          <w:sz w:val="24"/>
          <w:szCs w:val="24"/>
        </w:rPr>
        <w:t>Pinder,</w:t>
      </w:r>
      <w:r w:rsidR="00261F23">
        <w:rPr>
          <w:rFonts w:ascii="Times New Roman" w:hAnsi="Times New Roman" w:cs="Times New Roman"/>
          <w:sz w:val="24"/>
          <w:szCs w:val="24"/>
        </w:rPr>
        <w:t xml:space="preserve"> 2006)</w:t>
      </w:r>
      <w:r w:rsidRPr="003D7C8E" w:rsidR="004B0ADB">
        <w:rPr>
          <w:rFonts w:ascii="Times New Roman" w:hAnsi="Times New Roman" w:cs="Times New Roman"/>
          <w:sz w:val="24"/>
          <w:szCs w:val="24"/>
        </w:rPr>
        <w:t xml:space="preserve">. Therefore, in case the agency intends to accept card payment, store, process, as well as transmit cardholder information, it must host its data with a PCI compliant hosting provider.   </w:t>
      </w:r>
    </w:p>
    <w:p w:rsidR="00820BF8" w:rsidRPr="00146ED7" w:rsidP="00146ED7">
      <w:pPr>
        <w:pStyle w:val="ListParagraph"/>
        <w:numPr>
          <w:ilvl w:val="0"/>
          <w:numId w:val="1"/>
        </w:numPr>
        <w:spacing w:after="0" w:line="480" w:lineRule="auto"/>
        <w:rPr>
          <w:rFonts w:ascii="Times New Roman" w:hAnsi="Times New Roman" w:cs="Times New Roman"/>
          <w:b/>
          <w:sz w:val="24"/>
          <w:szCs w:val="24"/>
        </w:rPr>
      </w:pPr>
      <w:r w:rsidRPr="00146ED7">
        <w:rPr>
          <w:rFonts w:ascii="Times New Roman" w:hAnsi="Times New Roman" w:cs="Times New Roman"/>
          <w:b/>
          <w:sz w:val="24"/>
          <w:szCs w:val="24"/>
        </w:rPr>
        <w:t>HIPAA</w:t>
      </w:r>
    </w:p>
    <w:p w:rsidR="00ED6B8B" w:rsidRPr="003D7C8E" w:rsidP="003D7C8E">
      <w:pPr>
        <w:spacing w:after="0" w:line="480" w:lineRule="auto"/>
        <w:ind w:firstLine="720"/>
        <w:rPr>
          <w:rFonts w:ascii="Times New Roman" w:hAnsi="Times New Roman" w:cs="Times New Roman"/>
          <w:sz w:val="24"/>
          <w:szCs w:val="24"/>
        </w:rPr>
      </w:pPr>
      <w:r w:rsidRPr="003D7C8E">
        <w:rPr>
          <w:rFonts w:ascii="Times New Roman" w:hAnsi="Times New Roman" w:cs="Times New Roman"/>
          <w:sz w:val="24"/>
          <w:szCs w:val="24"/>
        </w:rPr>
        <w:t>The Health Insurance Portability and Accountability Act (HIPAA) plays a critical part in addressing safeguards to make sure the confidentiality, availability, as well as integrity of protected health information. The rule at hand mentions five kinds of technical safeguards that consist of intrusion protection, data integrity protection, authentication, as well as documentation</w:t>
      </w:r>
      <w:r w:rsidR="00366375">
        <w:rPr>
          <w:rFonts w:ascii="Times New Roman" w:hAnsi="Times New Roman" w:cs="Times New Roman"/>
          <w:sz w:val="24"/>
          <w:szCs w:val="24"/>
        </w:rPr>
        <w:t xml:space="preserve"> (</w:t>
      </w:r>
      <w:r w:rsidR="00BD2874">
        <w:rPr>
          <w:rFonts w:ascii="Times New Roman" w:hAnsi="Times New Roman" w:cs="Times New Roman"/>
          <w:sz w:val="24"/>
          <w:szCs w:val="24"/>
        </w:rPr>
        <w:t>Watzlaf, Moeini,</w:t>
      </w:r>
      <w:r w:rsidRPr="000F00B4" w:rsidR="00366375">
        <w:rPr>
          <w:rFonts w:ascii="Times New Roman" w:hAnsi="Times New Roman" w:cs="Times New Roman"/>
          <w:sz w:val="24"/>
          <w:szCs w:val="24"/>
        </w:rPr>
        <w:t xml:space="preserve"> &amp; Firouzan,</w:t>
      </w:r>
      <w:r w:rsidR="00366375">
        <w:rPr>
          <w:rFonts w:ascii="Times New Roman" w:hAnsi="Times New Roman" w:cs="Times New Roman"/>
          <w:sz w:val="24"/>
          <w:szCs w:val="24"/>
        </w:rPr>
        <w:t xml:space="preserve"> 2010)</w:t>
      </w:r>
      <w:r w:rsidRPr="003D7C8E">
        <w:rPr>
          <w:rFonts w:ascii="Times New Roman" w:hAnsi="Times New Roman" w:cs="Times New Roman"/>
          <w:sz w:val="24"/>
          <w:szCs w:val="24"/>
        </w:rPr>
        <w:t xml:space="preserve">. Notably, the act concentrates on the safeguards with the intent of making sure the availability, integrity, as well as confidentiality of protected health </w:t>
      </w:r>
      <w:r w:rsidRPr="003D7C8E">
        <w:rPr>
          <w:rFonts w:ascii="Times New Roman" w:hAnsi="Times New Roman" w:cs="Times New Roman"/>
          <w:sz w:val="24"/>
          <w:szCs w:val="24"/>
        </w:rPr>
        <w:t>information. Therefore, the agency should understand the way to attain compliance with technical safeguards standards of HIPAA. 
</w:t>
      </w:r>
    </w:p>
    <w:p w:rsidR="003738A0" w:rsidRPr="007921F8" w:rsidP="007921F8">
      <w:pPr>
        <w:pStyle w:val="ListParagraph"/>
        <w:numPr>
          <w:ilvl w:val="0"/>
          <w:numId w:val="1"/>
        </w:numPr>
        <w:spacing w:after="0" w:line="480" w:lineRule="auto"/>
        <w:rPr>
          <w:rFonts w:ascii="Times New Roman" w:hAnsi="Times New Roman" w:cs="Times New Roman"/>
          <w:b/>
          <w:sz w:val="24"/>
          <w:szCs w:val="24"/>
        </w:rPr>
      </w:pPr>
      <w:r w:rsidRPr="007921F8">
        <w:rPr>
          <w:rFonts w:ascii="Times New Roman" w:hAnsi="Times New Roman" w:cs="Times New Roman"/>
          <w:b/>
          <w:sz w:val="24"/>
          <w:szCs w:val="24"/>
        </w:rPr>
        <w:t>Intellectual Property Law</w:t>
      </w:r>
    </w:p>
    <w:p w:rsidR="000B20AE" w:rsidRPr="003D7C8E" w:rsidP="003D7C8E">
      <w:pPr>
        <w:spacing w:after="0" w:line="480" w:lineRule="auto"/>
        <w:ind w:firstLine="720"/>
        <w:rPr>
          <w:rFonts w:ascii="Times New Roman" w:hAnsi="Times New Roman" w:cs="Times New Roman"/>
          <w:sz w:val="24"/>
          <w:szCs w:val="24"/>
        </w:rPr>
      </w:pPr>
      <w:r w:rsidRPr="003D7C8E">
        <w:rPr>
          <w:rFonts w:ascii="Times New Roman" w:hAnsi="Times New Roman" w:cs="Times New Roman"/>
          <w:sz w:val="24"/>
          <w:szCs w:val="24"/>
        </w:rPr>
        <w:t xml:space="preserve">It is important to note that intellectual property is a particular property that the federal and state law can protect. Specifically, this includes ideas, inventions, copyrights, as well as discoveries, to mention a few. Therefore, the agency should comply with the aforementioned law to avoid penalties and fines associated with intellectual property law. In simple terms, it is noteworthy that attaining compliance of the discussed aspects can be hard; however, maintaining the achieved compliance standards is challenging. As the agency's networks </w:t>
      </w:r>
      <w:r w:rsidR="000B4634">
        <w:rPr>
          <w:rFonts w:ascii="Times New Roman" w:hAnsi="Times New Roman" w:cs="Times New Roman"/>
          <w:sz w:val="24"/>
          <w:szCs w:val="24"/>
        </w:rPr>
        <w:t>and</w:t>
      </w:r>
      <w:r w:rsidRPr="003D7C8E">
        <w:rPr>
          <w:rFonts w:ascii="Times New Roman" w:hAnsi="Times New Roman" w:cs="Times New Roman"/>
          <w:sz w:val="24"/>
          <w:szCs w:val="24"/>
        </w:rPr>
        <w:t xml:space="preserve"> infrastructure become sophisticated, it must observe real-time integrity monitoring alerts that possess the power to inform the significance of compliance. 
</w:t>
      </w:r>
    </w:p>
    <w:p w:rsidR="000B20AE" w:rsidRPr="00904BF4" w:rsidP="00904BF4">
      <w:pPr>
        <w:spacing w:after="0" w:line="480" w:lineRule="auto"/>
        <w:jc w:val="center"/>
        <w:rPr>
          <w:rFonts w:ascii="Times New Roman" w:hAnsi="Times New Roman" w:cs="Times New Roman"/>
          <w:b/>
          <w:sz w:val="24"/>
          <w:szCs w:val="24"/>
        </w:rPr>
      </w:pPr>
      <w:r w:rsidRPr="00904BF4">
        <w:rPr>
          <w:rFonts w:ascii="Times New Roman" w:hAnsi="Times New Roman" w:cs="Times New Roman"/>
          <w:b/>
          <w:sz w:val="24"/>
          <w:szCs w:val="24"/>
        </w:rPr>
        <w:t>Security Methods and Controls</w:t>
      </w:r>
      <w:r w:rsidR="000B4634">
        <w:rPr>
          <w:rFonts w:ascii="Times New Roman" w:hAnsi="Times New Roman" w:cs="Times New Roman"/>
          <w:b/>
          <w:sz w:val="24"/>
          <w:szCs w:val="24"/>
        </w:rPr>
        <w:t xml:space="preserve"> that Need to be Implemented to Ensure Compliance with Standards and Regulatory Requirements</w:t>
      </w:r>
    </w:p>
    <w:p w:rsidR="00630C6F" w:rsidRPr="003D7C8E" w:rsidP="003D7C8E">
      <w:pPr>
        <w:spacing w:after="0" w:line="480" w:lineRule="auto"/>
        <w:ind w:firstLine="720"/>
        <w:rPr>
          <w:rFonts w:ascii="Times New Roman" w:hAnsi="Times New Roman" w:cs="Times New Roman"/>
          <w:sz w:val="24"/>
          <w:szCs w:val="24"/>
        </w:rPr>
      </w:pPr>
      <w:r w:rsidRPr="003D7C8E">
        <w:rPr>
          <w:rFonts w:ascii="Times New Roman" w:hAnsi="Times New Roman" w:cs="Times New Roman"/>
          <w:sz w:val="24"/>
          <w:szCs w:val="24"/>
        </w:rPr>
        <w:t xml:space="preserve">The agency requires a number of security methods as well as controls to ensure compliance with the discussed standards and regulatory needs. </w:t>
      </w:r>
      <w:r w:rsidRPr="003D7C8E" w:rsidR="00233B59">
        <w:rPr>
          <w:rFonts w:ascii="Times New Roman" w:hAnsi="Times New Roman" w:cs="Times New Roman"/>
          <w:sz w:val="24"/>
          <w:szCs w:val="24"/>
        </w:rPr>
        <w:t>To begin with, the agency should implement the latest as well as ongoing knowledge of attack sources scenarios and techniques. In particular, this ensures effective compliance of the prevailing regulatory requirements and standards. Furthermore, the agency must enforce up to date tool inventories as well as network maps to help various individuals comprehend different compliance ways of the aforementioned security regulatory compliance requirements</w:t>
      </w:r>
      <w:r w:rsidR="00F857A6">
        <w:rPr>
          <w:rFonts w:ascii="Times New Roman" w:hAnsi="Times New Roman" w:cs="Times New Roman"/>
          <w:sz w:val="24"/>
          <w:szCs w:val="24"/>
        </w:rPr>
        <w:t xml:space="preserve"> (</w:t>
      </w:r>
      <w:r w:rsidRPr="00A22512" w:rsidR="00F857A6">
        <w:rPr>
          <w:rFonts w:ascii="Times New Roman" w:hAnsi="Times New Roman" w:cs="Times New Roman"/>
          <w:sz w:val="24"/>
          <w:szCs w:val="24"/>
        </w:rPr>
        <w:t>Nowell,</w:t>
      </w:r>
      <w:r w:rsidR="00F857A6">
        <w:rPr>
          <w:rFonts w:ascii="Times New Roman" w:hAnsi="Times New Roman" w:cs="Times New Roman"/>
          <w:sz w:val="24"/>
          <w:szCs w:val="24"/>
        </w:rPr>
        <w:t xml:space="preserve"> 2007)</w:t>
      </w:r>
      <w:r w:rsidRPr="003D7C8E" w:rsidR="00233B59">
        <w:rPr>
          <w:rFonts w:ascii="Times New Roman" w:hAnsi="Times New Roman" w:cs="Times New Roman"/>
          <w:sz w:val="24"/>
          <w:szCs w:val="24"/>
        </w:rPr>
        <w:t xml:space="preserve">. Specifically, this assists the company to understand the effective processes involved in complying with the available security regulatory standards. </w:t>
      </w:r>
    </w:p>
    <w:p w:rsidR="00233B59" w:rsidRPr="003D7C8E" w:rsidP="003D7C8E">
      <w:pPr>
        <w:spacing w:after="0" w:line="480" w:lineRule="auto"/>
        <w:ind w:firstLine="720"/>
        <w:rPr>
          <w:rFonts w:ascii="Times New Roman" w:hAnsi="Times New Roman" w:cs="Times New Roman"/>
          <w:sz w:val="24"/>
          <w:szCs w:val="24"/>
        </w:rPr>
      </w:pPr>
      <w:r w:rsidRPr="003D7C8E">
        <w:rPr>
          <w:rFonts w:ascii="Times New Roman" w:hAnsi="Times New Roman" w:cs="Times New Roman"/>
          <w:sz w:val="24"/>
          <w:szCs w:val="24"/>
        </w:rPr>
        <w:t xml:space="preserve">In addition, the agency should implement rapid detection as well as response capability to react to discovered vulnerabilities. Specifically, this helps the firm comprehend the existence of vulnerabilities as well as risks that might contribute to non-compliance of the discussed standards and regulatory requirements. </w:t>
      </w:r>
      <w:r w:rsidRPr="003D7C8E" w:rsidR="00DF49AC">
        <w:rPr>
          <w:rFonts w:ascii="Times New Roman" w:hAnsi="Times New Roman" w:cs="Times New Roman"/>
          <w:sz w:val="24"/>
          <w:szCs w:val="24"/>
        </w:rPr>
        <w:t>On the same note, risk assessment is vital to understand the risks associated with non-compliance. In this case, the agency is capable of comprehending the dangers such as penalties and fines connected to non-compliance. 
</w:t>
      </w:r>
    </w:p>
    <w:p w:rsidR="00EE2C71" w:rsidRPr="003D7C8E" w:rsidP="003D7C8E">
      <w:pPr>
        <w:spacing w:after="0" w:line="480" w:lineRule="auto"/>
        <w:ind w:firstLine="720"/>
        <w:rPr>
          <w:rFonts w:ascii="Times New Roman" w:hAnsi="Times New Roman" w:cs="Times New Roman"/>
          <w:sz w:val="24"/>
          <w:szCs w:val="24"/>
        </w:rPr>
      </w:pPr>
      <w:r w:rsidRPr="003D7C8E">
        <w:rPr>
          <w:rFonts w:ascii="Times New Roman" w:hAnsi="Times New Roman" w:cs="Times New Roman"/>
          <w:sz w:val="24"/>
          <w:szCs w:val="24"/>
        </w:rPr>
        <w:t xml:space="preserve">For effective compliance, the organization must implement network access controls over internal as well as external connections. In particular, this plays a critical part in ensuring adequate and effective compliance of the suggested regulatory requirements and standards. </w:t>
      </w:r>
      <w:r w:rsidRPr="003D7C8E">
        <w:rPr>
          <w:rFonts w:ascii="Times New Roman" w:hAnsi="Times New Roman" w:cs="Times New Roman"/>
          <w:sz w:val="24"/>
          <w:szCs w:val="24"/>
        </w:rPr>
        <w:t>Additionally, the firm needs to harden its systems before placing them in a production environment</w:t>
      </w:r>
      <w:r w:rsidR="00F857A6">
        <w:rPr>
          <w:rFonts w:ascii="Times New Roman" w:hAnsi="Times New Roman" w:cs="Times New Roman"/>
          <w:sz w:val="24"/>
          <w:szCs w:val="24"/>
        </w:rPr>
        <w:t xml:space="preserve"> (</w:t>
      </w:r>
      <w:r w:rsidRPr="00A22512" w:rsidR="00F857A6">
        <w:rPr>
          <w:rFonts w:ascii="Times New Roman" w:hAnsi="Times New Roman" w:cs="Times New Roman"/>
          <w:sz w:val="24"/>
          <w:szCs w:val="24"/>
        </w:rPr>
        <w:t>Nowell,</w:t>
      </w:r>
      <w:r w:rsidR="00F857A6">
        <w:rPr>
          <w:rFonts w:ascii="Times New Roman" w:hAnsi="Times New Roman" w:cs="Times New Roman"/>
          <w:sz w:val="24"/>
          <w:szCs w:val="24"/>
        </w:rPr>
        <w:t xml:space="preserve"> 2007)</w:t>
      </w:r>
      <w:r w:rsidRPr="003D7C8E">
        <w:rPr>
          <w:rFonts w:ascii="Times New Roman" w:hAnsi="Times New Roman" w:cs="Times New Roman"/>
          <w:sz w:val="24"/>
          <w:szCs w:val="24"/>
        </w:rPr>
        <w:t xml:space="preserve">. Notably, this ensures that the agency is in a position to understand the required surroundings to promote compliance of the aforementioned security regulatory requirements and standards. </w:t>
      </w:r>
    </w:p>
    <w:p w:rsidR="003D7C8E" w:rsidRPr="003D7C8E" w:rsidP="003D7C8E">
      <w:pPr>
        <w:spacing w:after="0" w:line="480" w:lineRule="auto"/>
        <w:ind w:firstLine="720"/>
        <w:rPr>
          <w:rFonts w:ascii="Times New Roman" w:hAnsi="Times New Roman" w:cs="Times New Roman"/>
          <w:sz w:val="24"/>
          <w:szCs w:val="24"/>
        </w:rPr>
      </w:pPr>
      <w:r w:rsidRPr="003D7C8E">
        <w:rPr>
          <w:rFonts w:ascii="Times New Roman" w:hAnsi="Times New Roman" w:cs="Times New Roman"/>
          <w:sz w:val="24"/>
          <w:szCs w:val="24"/>
        </w:rPr>
        <w:t xml:space="preserve">On the same note, the organization must implement malicious codes mitigation techniques. In fact, this ensures that </w:t>
      </w:r>
      <w:r w:rsidRPr="003D7C8E">
        <w:rPr>
          <w:rFonts w:ascii="Times New Roman" w:hAnsi="Times New Roman" w:cs="Times New Roman"/>
          <w:sz w:val="24"/>
          <w:szCs w:val="24"/>
        </w:rPr>
        <w:t>the regulatory needs and standard safe from attacks. Furthermore, the agency should enforce physical access control to make sure that effective compliance is attained. Moreover, the agency must enforce policies as well as procedures on user enrollment, change, as well as termination processes. 
</w:t>
      </w:r>
    </w:p>
    <w:p w:rsidR="00580121" w:rsidP="003D7C8E">
      <w:pPr>
        <w:spacing w:after="0" w:line="480" w:lineRule="auto"/>
        <w:ind w:firstLine="720"/>
        <w:rPr>
          <w:rFonts w:ascii="Times New Roman" w:hAnsi="Times New Roman" w:cs="Times New Roman"/>
          <w:sz w:val="24"/>
          <w:szCs w:val="24"/>
        </w:rPr>
      </w:pPr>
      <w:r w:rsidRPr="003D7C8E">
        <w:rPr>
          <w:rFonts w:ascii="Times New Roman" w:hAnsi="Times New Roman" w:cs="Times New Roman"/>
          <w:sz w:val="24"/>
          <w:szCs w:val="24"/>
        </w:rPr>
        <w:t xml:space="preserve">The company should enforce various processes to determine, monitor, as well as address training requirements. In this case, the agency needs to implement technical training, security awareness training, compliance training, as well as audit training. On the same note, the firm should enforce a testing plan that determines control objectives. Some of the objectives included in </w:t>
      </w:r>
      <w:r w:rsidRPr="003D7C8E">
        <w:rPr>
          <w:rFonts w:ascii="Times New Roman" w:hAnsi="Times New Roman" w:cs="Times New Roman"/>
          <w:sz w:val="24"/>
          <w:szCs w:val="24"/>
        </w:rPr>
        <w:t xml:space="preserve">this method consist of an audit, security assessments, vulnerability scans, as well as penetration tests.   </w:t>
      </w:r>
      <w:r w:rsidRPr="003D7C8E" w:rsidR="00EE2C71">
        <w:rPr>
          <w:rFonts w:ascii="Times New Roman" w:hAnsi="Times New Roman" w:cs="Times New Roman"/>
          <w:sz w:val="24"/>
          <w:szCs w:val="24"/>
        </w:rPr>
        <w:t xml:space="preserve"> </w:t>
      </w:r>
    </w:p>
    <w:p w:rsidR="001E0C42" w:rsidRPr="00904BF4" w:rsidP="00904BF4">
      <w:pPr>
        <w:spacing w:after="0" w:line="480" w:lineRule="auto"/>
        <w:jc w:val="center"/>
        <w:rPr>
          <w:rFonts w:ascii="Times New Roman" w:hAnsi="Times New Roman" w:cs="Times New Roman"/>
          <w:b/>
          <w:sz w:val="24"/>
          <w:szCs w:val="24"/>
        </w:rPr>
      </w:pPr>
      <w:r w:rsidRPr="00904BF4">
        <w:rPr>
          <w:rFonts w:ascii="Times New Roman" w:hAnsi="Times New Roman" w:cs="Times New Roman"/>
          <w:b/>
          <w:sz w:val="24"/>
          <w:szCs w:val="24"/>
        </w:rPr>
        <w:t>Guidance</w:t>
      </w:r>
      <w:r w:rsidR="000B4634">
        <w:rPr>
          <w:rFonts w:ascii="Times New Roman" w:hAnsi="Times New Roman" w:cs="Times New Roman"/>
          <w:b/>
          <w:sz w:val="24"/>
          <w:szCs w:val="24"/>
        </w:rPr>
        <w:t xml:space="preserve"> Provided by Various Agencies for Ensuring Compliance with Standards and Regulatory Requirements</w:t>
      </w:r>
    </w:p>
    <w:p w:rsidR="00DB0C0E" w:rsidP="00DB0C0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It is important to comprehend that the department of health and human services, the national institute of standards and technology, as well as other agencies provide comprehensive guidance to ensure effective compliance with the regulatory requirements and standards. Some of the available agencies are considered vital for technological advancement as well as security in most innovative firms. Therefore, compliance with the aforementioned agencies’ standards and guidelines is a top priority in various fields</w:t>
      </w:r>
      <w:r w:rsidR="00533138">
        <w:rPr>
          <w:rFonts w:ascii="Times New Roman" w:hAnsi="Times New Roman" w:cs="Times New Roman"/>
          <w:sz w:val="24"/>
          <w:szCs w:val="24"/>
        </w:rPr>
        <w:t xml:space="preserve"> (</w:t>
      </w:r>
      <w:r w:rsidRPr="00A22512" w:rsidR="00533138">
        <w:rPr>
          <w:rFonts w:ascii="Times New Roman" w:hAnsi="Times New Roman" w:cs="Times New Roman"/>
          <w:sz w:val="24"/>
          <w:szCs w:val="24"/>
        </w:rPr>
        <w:t>Hoover,</w:t>
      </w:r>
      <w:r w:rsidR="00533138">
        <w:rPr>
          <w:rFonts w:ascii="Times New Roman" w:hAnsi="Times New Roman" w:cs="Times New Roman"/>
          <w:sz w:val="24"/>
          <w:szCs w:val="24"/>
        </w:rPr>
        <w:t xml:space="preserve"> 2013)</w:t>
      </w:r>
      <w:r>
        <w:rPr>
          <w:rFonts w:ascii="Times New Roman" w:hAnsi="Times New Roman" w:cs="Times New Roman"/>
          <w:sz w:val="24"/>
          <w:szCs w:val="24"/>
        </w:rPr>
        <w:t>. Notably, complying with the provided guidelines and recommendations play a critical part in helping federal firms make sure compliance with the discussed regulations such as FISMA, SOX, and HIPAA, to mention a few. It is noteworthy that the guidelines are created to assist agencies to attain particular regulatory compliance needs. 
</w:t>
      </w:r>
    </w:p>
    <w:p w:rsidR="003C1D44" w:rsidP="00DB0C0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agencies guide that firms must classify their information for easy protection. In this case, when data is categorized in an orderly manner, a firm is in a position to protect it easily. On the same note, the organizations must come up with a baseline for the minimum management as well as control needed to protect the information at hand. In addition, organizations are required to refine controls utilizing a risk assessment process</w:t>
      </w:r>
      <w:r w:rsidR="008118C6">
        <w:rPr>
          <w:rFonts w:ascii="Times New Roman" w:hAnsi="Times New Roman" w:cs="Times New Roman"/>
          <w:sz w:val="24"/>
          <w:szCs w:val="24"/>
        </w:rPr>
        <w:t xml:space="preserve"> (</w:t>
      </w:r>
      <w:r w:rsidRPr="00A22512" w:rsidR="008118C6">
        <w:rPr>
          <w:rFonts w:ascii="Times New Roman" w:hAnsi="Times New Roman" w:cs="Times New Roman"/>
          <w:sz w:val="24"/>
          <w:szCs w:val="24"/>
        </w:rPr>
        <w:t>Hoover,</w:t>
      </w:r>
      <w:r w:rsidR="008118C6">
        <w:rPr>
          <w:rFonts w:ascii="Times New Roman" w:hAnsi="Times New Roman" w:cs="Times New Roman"/>
          <w:sz w:val="24"/>
          <w:szCs w:val="24"/>
        </w:rPr>
        <w:t xml:space="preserve"> 2013)</w:t>
      </w:r>
      <w:r>
        <w:rPr>
          <w:rFonts w:ascii="Times New Roman" w:hAnsi="Times New Roman" w:cs="Times New Roman"/>
          <w:sz w:val="24"/>
          <w:szCs w:val="24"/>
        </w:rPr>
        <w:t>. Moreover, enterprises are guided to perform comprehensive documentation of controls in the system security plan. Specifically, this ensures effective compliance of the available security regulatory standards and requirements.  
</w:t>
      </w:r>
    </w:p>
    <w:p w:rsidR="007D071D" w:rsidP="000B463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Companies are guided to access the effectiveness of the documentation controls once they have been implemented. On the same note, agencies are required to enforce security controls in </w:t>
      </w:r>
      <w:r>
        <w:rPr>
          <w:rFonts w:ascii="Times New Roman" w:hAnsi="Times New Roman" w:cs="Times New Roman"/>
          <w:sz w:val="24"/>
          <w:szCs w:val="24"/>
        </w:rPr>
        <w:t>adequate and appropriate information schemes. Furthermore, businesses are demanded to perform comprehensive authorization systems of processing as well as monitoring of the security controls in a continuous way. Fur the firms must determine the agency level risk to the mission or business case at hand.
</w:t>
      </w:r>
    </w:p>
    <w:p w:rsidR="00904BF4" w:rsidP="000B463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Overall, the provided guidelines indicate that firms should document their baseline controls in a written security plan and roll out security controls to the organization’s information system. </w:t>
      </w:r>
      <w:r w:rsidR="000F00B4">
        <w:rPr>
          <w:rFonts w:ascii="Times New Roman" w:hAnsi="Times New Roman" w:cs="Times New Roman"/>
          <w:sz w:val="24"/>
          <w:szCs w:val="24"/>
        </w:rPr>
        <w:t>Precisely, organizations must monitor their performance to measure the efficacy of security controls.</w:t>
      </w:r>
    </w:p>
    <w:p w:rsidR="000B4634" w:rsidP="00A22512">
      <w:pPr>
        <w:spacing w:after="0" w:line="48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br w:type="page"/>
      </w:r>
    </w:p>
    <w:p w:rsidR="000F00B4" w:rsidRPr="000B4634" w:rsidP="00A22512">
      <w:pPr>
        <w:spacing w:after="0" w:line="480" w:lineRule="auto"/>
        <w:jc w:val="center"/>
        <w:rPr>
          <w:rFonts w:ascii="Times New Roman" w:hAnsi="Times New Roman" w:cs="Times New Roman"/>
          <w:b/>
          <w:sz w:val="24"/>
          <w:szCs w:val="24"/>
        </w:rPr>
      </w:pPr>
      <w:r w:rsidRPr="000B4634">
        <w:rPr>
          <w:rFonts w:ascii="Times New Roman" w:hAnsi="Times New Roman" w:cs="Times New Roman"/>
          <w:b/>
          <w:sz w:val="24"/>
          <w:szCs w:val="24"/>
        </w:rPr>
        <w:t>References</w:t>
      </w:r>
    </w:p>
    <w:p w:rsidR="000F00B4" w:rsidP="00A22512">
      <w:pPr>
        <w:spacing w:after="0" w:line="480" w:lineRule="auto"/>
        <w:ind w:left="720" w:hanging="720"/>
        <w:rPr>
          <w:rFonts w:ascii="Times New Roman" w:hAnsi="Times New Roman" w:cs="Times New Roman"/>
          <w:sz w:val="24"/>
          <w:szCs w:val="24"/>
        </w:rPr>
      </w:pPr>
      <w:r w:rsidRPr="000F00B4">
        <w:rPr>
          <w:rFonts w:ascii="Times New Roman" w:hAnsi="Times New Roman" w:cs="Times New Roman"/>
          <w:sz w:val="24"/>
          <w:szCs w:val="24"/>
        </w:rPr>
        <w:t>Bulgurcu, B., Cavusoglu, H., &amp; Benbasat, I. (2010). Information security policy compliance: an empirical study of rationality-based beliefs and information security awareness. </w:t>
      </w:r>
      <w:r w:rsidRPr="000F00B4">
        <w:rPr>
          <w:rFonts w:ascii="Times New Roman" w:hAnsi="Times New Roman" w:cs="Times New Roman"/>
          <w:i/>
          <w:iCs/>
          <w:sz w:val="24"/>
          <w:szCs w:val="24"/>
        </w:rPr>
        <w:t>MIS Quarterly</w:t>
      </w:r>
      <w:r w:rsidRPr="000F00B4">
        <w:rPr>
          <w:rFonts w:ascii="Times New Roman" w:hAnsi="Times New Roman" w:cs="Times New Roman"/>
          <w:sz w:val="24"/>
          <w:szCs w:val="24"/>
        </w:rPr>
        <w:t>, </w:t>
      </w:r>
      <w:r w:rsidRPr="000F00B4">
        <w:rPr>
          <w:rFonts w:ascii="Times New Roman" w:hAnsi="Times New Roman" w:cs="Times New Roman"/>
          <w:i/>
          <w:iCs/>
          <w:sz w:val="24"/>
          <w:szCs w:val="24"/>
        </w:rPr>
        <w:t>34</w:t>
      </w:r>
      <w:r w:rsidRPr="000F00B4">
        <w:rPr>
          <w:rFonts w:ascii="Times New Roman" w:hAnsi="Times New Roman" w:cs="Times New Roman"/>
          <w:sz w:val="24"/>
          <w:szCs w:val="24"/>
        </w:rPr>
        <w:t>(3), 523-548.</w:t>
      </w:r>
    </w:p>
    <w:p w:rsidR="00A22512" w:rsidP="00A22512">
      <w:pPr>
        <w:spacing w:after="0" w:line="480" w:lineRule="auto"/>
        <w:ind w:left="720" w:hanging="720"/>
        <w:rPr>
          <w:rFonts w:ascii="Times New Roman" w:hAnsi="Times New Roman" w:cs="Times New Roman"/>
          <w:sz w:val="24"/>
          <w:szCs w:val="24"/>
        </w:rPr>
      </w:pPr>
      <w:r w:rsidRPr="00A22512">
        <w:rPr>
          <w:rFonts w:ascii="Times New Roman" w:hAnsi="Times New Roman" w:cs="Times New Roman"/>
          <w:sz w:val="24"/>
          <w:szCs w:val="24"/>
        </w:rPr>
        <w:t>Hoover, J. N. (2013). Compliance in the ether: cloud computing, data security and business regulation. </w:t>
      </w:r>
      <w:r w:rsidRPr="00A22512">
        <w:rPr>
          <w:rFonts w:ascii="Times New Roman" w:hAnsi="Times New Roman" w:cs="Times New Roman"/>
          <w:i/>
          <w:iCs/>
          <w:sz w:val="24"/>
          <w:szCs w:val="24"/>
        </w:rPr>
        <w:t>J. Bus. &amp; Tech. L.</w:t>
      </w:r>
      <w:r w:rsidRPr="00A22512">
        <w:rPr>
          <w:rFonts w:ascii="Times New Roman" w:hAnsi="Times New Roman" w:cs="Times New Roman"/>
          <w:sz w:val="24"/>
          <w:szCs w:val="24"/>
        </w:rPr>
        <w:t>, </w:t>
      </w:r>
      <w:r w:rsidRPr="00A22512">
        <w:rPr>
          <w:rFonts w:ascii="Times New Roman" w:hAnsi="Times New Roman" w:cs="Times New Roman"/>
          <w:i/>
          <w:iCs/>
          <w:sz w:val="24"/>
          <w:szCs w:val="24"/>
        </w:rPr>
        <w:t>8</w:t>
      </w:r>
      <w:r w:rsidRPr="00A22512">
        <w:rPr>
          <w:rFonts w:ascii="Times New Roman" w:hAnsi="Times New Roman" w:cs="Times New Roman"/>
          <w:sz w:val="24"/>
          <w:szCs w:val="24"/>
        </w:rPr>
        <w:t>, 255.</w:t>
      </w:r>
    </w:p>
    <w:p w:rsidR="00A22512" w:rsidP="00A22512">
      <w:pPr>
        <w:spacing w:after="0" w:line="480" w:lineRule="auto"/>
        <w:ind w:left="720" w:hanging="720"/>
        <w:rPr>
          <w:rFonts w:ascii="Times New Roman" w:hAnsi="Times New Roman" w:cs="Times New Roman"/>
          <w:sz w:val="24"/>
          <w:szCs w:val="24"/>
        </w:rPr>
      </w:pPr>
      <w:r w:rsidRPr="00A22512">
        <w:rPr>
          <w:rFonts w:ascii="Times New Roman" w:hAnsi="Times New Roman" w:cs="Times New Roman"/>
          <w:sz w:val="24"/>
          <w:szCs w:val="24"/>
        </w:rPr>
        <w:t>Nowell, C. (2007). Regulatory Compliance—the Wonderful World of FISMA. </w:t>
      </w:r>
      <w:r w:rsidRPr="00A22512">
        <w:rPr>
          <w:rFonts w:ascii="Times New Roman" w:hAnsi="Times New Roman" w:cs="Times New Roman"/>
          <w:i/>
          <w:iCs/>
          <w:sz w:val="24"/>
          <w:szCs w:val="24"/>
        </w:rPr>
        <w:t>Information Systems Security</w:t>
      </w:r>
      <w:r w:rsidRPr="00A22512">
        <w:rPr>
          <w:rFonts w:ascii="Times New Roman" w:hAnsi="Times New Roman" w:cs="Times New Roman"/>
          <w:sz w:val="24"/>
          <w:szCs w:val="24"/>
        </w:rPr>
        <w:t>, </w:t>
      </w:r>
      <w:r w:rsidRPr="00A22512">
        <w:rPr>
          <w:rFonts w:ascii="Times New Roman" w:hAnsi="Times New Roman" w:cs="Times New Roman"/>
          <w:i/>
          <w:iCs/>
          <w:sz w:val="24"/>
          <w:szCs w:val="24"/>
        </w:rPr>
        <w:t>16</w:t>
      </w:r>
      <w:r w:rsidRPr="00A22512">
        <w:rPr>
          <w:rFonts w:ascii="Times New Roman" w:hAnsi="Times New Roman" w:cs="Times New Roman"/>
          <w:sz w:val="24"/>
          <w:szCs w:val="24"/>
        </w:rPr>
        <w:t>(5), 278-280.</w:t>
      </w:r>
    </w:p>
    <w:p w:rsidR="000F00B4" w:rsidP="00A22512">
      <w:pPr>
        <w:spacing w:after="0" w:line="480" w:lineRule="auto"/>
        <w:ind w:left="720" w:hanging="720"/>
        <w:rPr>
          <w:rFonts w:ascii="Times New Roman" w:hAnsi="Times New Roman" w:cs="Times New Roman"/>
          <w:sz w:val="24"/>
          <w:szCs w:val="24"/>
        </w:rPr>
      </w:pPr>
      <w:r w:rsidRPr="000F00B4">
        <w:rPr>
          <w:rFonts w:ascii="Times New Roman" w:hAnsi="Times New Roman" w:cs="Times New Roman"/>
          <w:sz w:val="24"/>
          <w:szCs w:val="24"/>
        </w:rPr>
        <w:t>Pinder, P. (2006). Preparing Information Security for legal and regulatory compliance (Sarbanes–Oxley and Basel II). </w:t>
      </w:r>
      <w:r w:rsidRPr="000F00B4">
        <w:rPr>
          <w:rFonts w:ascii="Times New Roman" w:hAnsi="Times New Roman" w:cs="Times New Roman"/>
          <w:i/>
          <w:iCs/>
          <w:sz w:val="24"/>
          <w:szCs w:val="24"/>
        </w:rPr>
        <w:t>Information security technical report</w:t>
      </w:r>
      <w:r w:rsidRPr="000F00B4">
        <w:rPr>
          <w:rFonts w:ascii="Times New Roman" w:hAnsi="Times New Roman" w:cs="Times New Roman"/>
          <w:sz w:val="24"/>
          <w:szCs w:val="24"/>
        </w:rPr>
        <w:t>, </w:t>
      </w:r>
      <w:r w:rsidRPr="000F00B4">
        <w:rPr>
          <w:rFonts w:ascii="Times New Roman" w:hAnsi="Times New Roman" w:cs="Times New Roman"/>
          <w:i/>
          <w:iCs/>
          <w:sz w:val="24"/>
          <w:szCs w:val="24"/>
        </w:rPr>
        <w:t>11</w:t>
      </w:r>
      <w:r w:rsidRPr="000F00B4">
        <w:rPr>
          <w:rFonts w:ascii="Times New Roman" w:hAnsi="Times New Roman" w:cs="Times New Roman"/>
          <w:sz w:val="24"/>
          <w:szCs w:val="24"/>
        </w:rPr>
        <w:t>(1), 32-38.</w:t>
      </w:r>
    </w:p>
    <w:p w:rsidR="003738A0" w:rsidRPr="003D7C8E" w:rsidP="000B4634">
      <w:pPr>
        <w:spacing w:after="0" w:line="480" w:lineRule="auto"/>
        <w:ind w:left="720" w:hanging="720"/>
        <w:rPr>
          <w:rFonts w:ascii="Times New Roman" w:hAnsi="Times New Roman" w:cs="Times New Roman"/>
          <w:sz w:val="24"/>
          <w:szCs w:val="24"/>
        </w:rPr>
      </w:pPr>
      <w:r w:rsidRPr="000F00B4">
        <w:rPr>
          <w:rFonts w:ascii="Times New Roman" w:hAnsi="Times New Roman" w:cs="Times New Roman"/>
          <w:sz w:val="24"/>
          <w:szCs w:val="24"/>
        </w:rPr>
        <w:t>Watzlaf, V. J., Moeini, S., &amp; Firouzan, P. (2010). VoIP for telerehabilitation: A risk analysis for privacy, security, and HIPAA compliance. </w:t>
      </w:r>
      <w:r w:rsidRPr="000F00B4">
        <w:rPr>
          <w:rFonts w:ascii="Times New Roman" w:hAnsi="Times New Roman" w:cs="Times New Roman"/>
          <w:i/>
          <w:iCs/>
          <w:sz w:val="24"/>
          <w:szCs w:val="24"/>
        </w:rPr>
        <w:t>International Journal of Telerehabilitation</w:t>
      </w:r>
      <w:r w:rsidRPr="000F00B4">
        <w:rPr>
          <w:rFonts w:ascii="Times New Roman" w:hAnsi="Times New Roman" w:cs="Times New Roman"/>
          <w:sz w:val="24"/>
          <w:szCs w:val="24"/>
        </w:rPr>
        <w:t>, </w:t>
      </w:r>
      <w:r w:rsidRPr="000F00B4">
        <w:rPr>
          <w:rFonts w:ascii="Times New Roman" w:hAnsi="Times New Roman" w:cs="Times New Roman"/>
          <w:i/>
          <w:iCs/>
          <w:sz w:val="24"/>
          <w:szCs w:val="24"/>
        </w:rPr>
        <w:t>2</w:t>
      </w:r>
      <w:r w:rsidRPr="000F00B4">
        <w:rPr>
          <w:rFonts w:ascii="Times New Roman" w:hAnsi="Times New Roman" w:cs="Times New Roman"/>
          <w:sz w:val="24"/>
          <w:szCs w:val="24"/>
        </w:rPr>
        <w:t>(2), 3.</w:t>
      </w:r>
    </w:p>
    <w:sectPr w:rsidSect="0004678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091" w:rsidRPr="0004678F">
    <w:pPr>
      <w:pStyle w:val="Header"/>
      <w:rPr>
        <w:rFonts w:ascii="Times New Roman" w:hAnsi="Times New Roman" w:cs="Times New Roman"/>
      </w:rPr>
    </w:pPr>
    <w:r w:rsidRPr="0004678F">
      <w:rPr>
        <w:rFonts w:ascii="Times New Roman" w:hAnsi="Times New Roman" w:cs="Times New Roman"/>
      </w:rPr>
      <w:t>SECURITY REGULATION COMPLIANCE</w:t>
    </w:r>
    <w:r w:rsidR="00A00199">
      <w:rPr>
        <w:rFonts w:ascii="Times New Roman" w:hAnsi="Times New Roman" w:cs="Times New Roman"/>
      </w:rPr>
      <w:t xml:space="preserve"> REQUIREMENTS</w:t>
    </w:r>
    <w:sdt>
      <w:sdtPr>
        <w:rPr>
          <w:rFonts w:ascii="Times New Roman" w:hAnsi="Times New Roman" w:cs="Times New Roman"/>
        </w:rPr>
        <w:id w:val="2119638132"/>
        <w:docPartObj>
          <w:docPartGallery w:val="Page Numbers (Top of Page)"/>
          <w:docPartUnique/>
        </w:docPartObj>
      </w:sdtPr>
      <w:sdtEndPr>
        <w:rPr>
          <w:noProof/>
        </w:rPr>
      </w:sdtEndPr>
      <w:sdtContent>
        <w:r w:rsidRPr="0004678F">
          <w:rPr>
            <w:rFonts w:ascii="Times New Roman" w:hAnsi="Times New Roman" w:cs="Times New Roman"/>
          </w:rPr>
          <w:tab/>
        </w:r>
        <w:r w:rsidRPr="0004678F">
          <w:rPr>
            <w:rFonts w:ascii="Times New Roman" w:hAnsi="Times New Roman" w:cs="Times New Roman"/>
          </w:rPr>
          <w:fldChar w:fldCharType="begin"/>
        </w:r>
        <w:r w:rsidRPr="0004678F">
          <w:rPr>
            <w:rFonts w:ascii="Times New Roman" w:hAnsi="Times New Roman" w:cs="Times New Roman"/>
          </w:rPr>
          <w:instrText xml:space="preserve"> PAGE   \* MERGEFORMAT </w:instrText>
        </w:r>
        <w:r w:rsidRPr="0004678F">
          <w:rPr>
            <w:rFonts w:ascii="Times New Roman" w:hAnsi="Times New Roman" w:cs="Times New Roman"/>
          </w:rPr>
          <w:fldChar w:fldCharType="separate"/>
        </w:r>
        <w:r w:rsidRPr="0004678F" w:rsidR="00904BF4">
          <w:rPr>
            <w:rFonts w:ascii="Times New Roman" w:hAnsi="Times New Roman" w:cs="Times New Roman"/>
            <w:noProof/>
          </w:rPr>
          <w:t>9</w:t>
        </w:r>
        <w:r w:rsidRPr="0004678F">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43091" w:rsidRPr="0004678F">
    <w:pPr>
      <w:pStyle w:val="Header"/>
      <w:rPr>
        <w:rFonts w:ascii="Times New Roman" w:hAnsi="Times New Roman" w:cs="Times New Roman"/>
      </w:rPr>
    </w:pPr>
    <w:r w:rsidRPr="0004678F">
      <w:rPr>
        <w:rFonts w:ascii="Times New Roman" w:hAnsi="Times New Roman" w:cs="Times New Roman"/>
      </w:rPr>
      <w:t xml:space="preserve">Running head: </w:t>
    </w:r>
    <w:r w:rsidRPr="0004678F" w:rsidR="0004678F">
      <w:rPr>
        <w:rFonts w:ascii="Times New Roman" w:hAnsi="Times New Roman" w:cs="Times New Roman"/>
      </w:rPr>
      <w:t xml:space="preserve">SECURITY REGULATION COMPLIANCE </w:t>
    </w:r>
    <w:r w:rsidR="00A00199">
      <w:rPr>
        <w:rFonts w:ascii="Times New Roman" w:hAnsi="Times New Roman" w:cs="Times New Roman"/>
      </w:rPr>
      <w:t>REQUIREMENTS</w:t>
    </w:r>
    <w:r w:rsidRPr="0004678F" w:rsidR="0004678F">
      <w:rPr>
        <w:rFonts w:ascii="Times New Roman" w:hAnsi="Times New Roman" w:cs="Times New Roman"/>
      </w:rPr>
      <w:t xml:space="preserve"> </w:t>
    </w:r>
    <w:sdt>
      <w:sdtPr>
        <w:rPr>
          <w:rFonts w:ascii="Times New Roman" w:hAnsi="Times New Roman" w:cs="Times New Roman"/>
        </w:rPr>
        <w:id w:val="-1937357899"/>
        <w:docPartObj>
          <w:docPartGallery w:val="Page Numbers (Top of Page)"/>
          <w:docPartUnique/>
        </w:docPartObj>
      </w:sdtPr>
      <w:sdtEndPr>
        <w:rPr>
          <w:noProof/>
        </w:rPr>
      </w:sdtEndPr>
      <w:sdtContent>
        <w:r w:rsidRPr="0004678F">
          <w:rPr>
            <w:rFonts w:ascii="Times New Roman" w:hAnsi="Times New Roman" w:cs="Times New Roman"/>
          </w:rPr>
          <w:tab/>
        </w:r>
        <w:r w:rsidRPr="0004678F">
          <w:rPr>
            <w:rFonts w:ascii="Times New Roman" w:hAnsi="Times New Roman" w:cs="Times New Roman"/>
          </w:rPr>
          <w:fldChar w:fldCharType="begin"/>
        </w:r>
        <w:r w:rsidRPr="0004678F">
          <w:rPr>
            <w:rFonts w:ascii="Times New Roman" w:hAnsi="Times New Roman" w:cs="Times New Roman"/>
          </w:rPr>
          <w:instrText xml:space="preserve"> PAGE   \* MERGEFORMAT </w:instrText>
        </w:r>
        <w:r w:rsidRPr="0004678F">
          <w:rPr>
            <w:rFonts w:ascii="Times New Roman" w:hAnsi="Times New Roman" w:cs="Times New Roman"/>
          </w:rPr>
          <w:fldChar w:fldCharType="separate"/>
        </w:r>
        <w:r w:rsidRPr="0004678F">
          <w:rPr>
            <w:rFonts w:ascii="Times New Roman" w:hAnsi="Times New Roman" w:cs="Times New Roman"/>
            <w:noProof/>
          </w:rPr>
          <w:t>1</w:t>
        </w:r>
        <w:r w:rsidRPr="0004678F">
          <w:rPr>
            <w:rFonts w:ascii="Times New Roman" w:hAnsi="Times New Roman" w:cs="Times New Roman"/>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2D17E2E"/>
    <w:multiLevelType w:val="hybridMultilevel"/>
    <w:tmpl w:val="EA36CDDA"/>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969"/>
    <w:rsid w:val="0004678F"/>
    <w:rsid w:val="000B20AE"/>
    <w:rsid w:val="000B4634"/>
    <w:rsid w:val="000F00B4"/>
    <w:rsid w:val="00127D33"/>
    <w:rsid w:val="0014493B"/>
    <w:rsid w:val="00146ED7"/>
    <w:rsid w:val="001B6DBF"/>
    <w:rsid w:val="001E0C42"/>
    <w:rsid w:val="00233B59"/>
    <w:rsid w:val="00261F23"/>
    <w:rsid w:val="00366375"/>
    <w:rsid w:val="003738A0"/>
    <w:rsid w:val="003C1D44"/>
    <w:rsid w:val="003C23FF"/>
    <w:rsid w:val="003D7C8E"/>
    <w:rsid w:val="0041096D"/>
    <w:rsid w:val="00483BC2"/>
    <w:rsid w:val="004B0ADB"/>
    <w:rsid w:val="004D0104"/>
    <w:rsid w:val="004D1969"/>
    <w:rsid w:val="00533138"/>
    <w:rsid w:val="00580121"/>
    <w:rsid w:val="00630C6F"/>
    <w:rsid w:val="00686C8C"/>
    <w:rsid w:val="007921F8"/>
    <w:rsid w:val="007D071D"/>
    <w:rsid w:val="008014FA"/>
    <w:rsid w:val="008118C6"/>
    <w:rsid w:val="00820BF8"/>
    <w:rsid w:val="008C50B7"/>
    <w:rsid w:val="00904BF4"/>
    <w:rsid w:val="0091698F"/>
    <w:rsid w:val="00920599"/>
    <w:rsid w:val="00943091"/>
    <w:rsid w:val="00962652"/>
    <w:rsid w:val="00A00199"/>
    <w:rsid w:val="00A22512"/>
    <w:rsid w:val="00B1458E"/>
    <w:rsid w:val="00B157F7"/>
    <w:rsid w:val="00B7692B"/>
    <w:rsid w:val="00BD2874"/>
    <w:rsid w:val="00C62C29"/>
    <w:rsid w:val="00D73EB9"/>
    <w:rsid w:val="00DB0C0E"/>
    <w:rsid w:val="00DF49AC"/>
    <w:rsid w:val="00E16334"/>
    <w:rsid w:val="00E31D26"/>
    <w:rsid w:val="00E83737"/>
    <w:rsid w:val="00ED696F"/>
    <w:rsid w:val="00ED6B8B"/>
    <w:rsid w:val="00EE2C71"/>
    <w:rsid w:val="00F04CF2"/>
    <w:rsid w:val="00F167FB"/>
    <w:rsid w:val="00F272FD"/>
    <w:rsid w:val="00F857A6"/>
    <w:rsid w:val="00FD388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0C7ADE2-8C13-4203-9F95-C5C712AB1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30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3091"/>
  </w:style>
  <w:style w:type="paragraph" w:styleId="Footer">
    <w:name w:val="footer"/>
    <w:basedOn w:val="Normal"/>
    <w:link w:val="FooterChar"/>
    <w:uiPriority w:val="99"/>
    <w:unhideWhenUsed/>
    <w:rsid w:val="009430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3091"/>
  </w:style>
  <w:style w:type="paragraph" w:styleId="ListParagraph">
    <w:name w:val="List Paragraph"/>
    <w:basedOn w:val="Normal"/>
    <w:uiPriority w:val="34"/>
    <w:qFormat/>
    <w:rsid w:val="00146E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9</Pages>
  <Words>1912</Words>
  <Characters>10904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89</cp:revision>
  <dcterms:created xsi:type="dcterms:W3CDTF">2019-03-05T08:25:00Z</dcterms:created>
  <dcterms:modified xsi:type="dcterms:W3CDTF">2019-03-05T15:47:00Z</dcterms:modified>
</cp:coreProperties>
</file>